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7E2F406F"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p>
    <w:p w14:paraId="57599BAB" w14:textId="04F8B663" w:rsidR="00E029CF" w:rsidRPr="00792D8C" w:rsidRDefault="00792D8C" w:rsidP="00E029CF">
      <w:pPr>
        <w:pStyle w:val="CRCoverPage"/>
        <w:outlineLvl w:val="0"/>
        <w:rPr>
          <w:b/>
          <w:noProof/>
          <w:color w:val="3333FF"/>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3" w:name="_Toc106121049"/>
      <w:r w:rsidRPr="00812106">
        <w:t>7</w:t>
      </w:r>
      <w:r w:rsidRPr="00812106">
        <w:tab/>
        <w:t>Evaluation</w:t>
      </w:r>
      <w:bookmarkEnd w:id="3"/>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4"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4"/>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75DC3D94" w14:textId="18842E22" w:rsidR="003338A3" w:rsidRPr="003D4ABF" w:rsidRDefault="003338A3" w:rsidP="003338A3">
      <w:pPr>
        <w:rPr>
          <w:rFonts w:eastAsia="等线"/>
        </w:rPr>
      </w:pPr>
      <w:r>
        <w:t xml:space="preserve">TS 23.503 </w:t>
      </w:r>
      <w:r w:rsidR="003123B1" w:rsidRPr="001C1E4A">
        <w:t>[13]</w:t>
      </w:r>
      <w:r w:rsidR="003123B1" w:rsidRPr="00773756">
        <w:t xml:space="preserve"> </w:t>
      </w:r>
      <w:r w:rsidRPr="003D4ABF">
        <w:rPr>
          <w:rFonts w:eastAsia="等线"/>
        </w:rPr>
        <w:t xml:space="preserve">Table 6.2-2: </w:t>
      </w:r>
      <w:r>
        <w:rPr>
          <w:rFonts w:eastAsia="等线"/>
        </w:rPr>
        <w:t>“</w:t>
      </w:r>
      <w:r w:rsidRPr="003D4ABF">
        <w:rPr>
          <w:rFonts w:eastAsia="等线"/>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5" w:author="TTF-SA2#152" w:date="2022-08-23T14:14:00Z"/>
          <w:rFonts w:eastAsia="Yu Mincho"/>
        </w:rPr>
      </w:pPr>
    </w:p>
    <w:p w14:paraId="0291BAED" w14:textId="723C8CE9" w:rsidR="00764049" w:rsidRPr="001B51AA" w:rsidRDefault="00764049" w:rsidP="00764049">
      <w:pPr>
        <w:rPr>
          <w:ins w:id="6" w:author="TTF-SA2#152" w:date="2022-08-23T14:14:00Z"/>
          <w:lang w:eastAsia="zh-CN"/>
        </w:rPr>
      </w:pPr>
      <w:ins w:id="7" w:author="TTF-SA2#152" w:date="2022-08-23T14:14:00Z">
        <w:r>
          <w:rPr>
            <w:rFonts w:hint="eastAsia"/>
            <w:lang w:eastAsia="zh-CN"/>
          </w:rPr>
          <w:t>F</w:t>
        </w:r>
        <w:r>
          <w:rPr>
            <w:lang w:eastAsia="zh-CN"/>
          </w:rPr>
          <w:t>urthermore,</w:t>
        </w:r>
        <w:bookmarkStart w:id="8"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e.g.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8"/>
    <w:p w14:paraId="776897BA" w14:textId="77777777" w:rsidR="00764049" w:rsidRPr="00764049" w:rsidRDefault="00764049" w:rsidP="003338A3">
      <w:pPr>
        <w:rPr>
          <w:rFonts w:eastAsia="Yu Mincho"/>
          <w:rPrChange w:id="9" w:author="TTF-SA2#152" w:date="2022-08-23T14:14:00Z">
            <w:rPr/>
          </w:rPrChange>
        </w:rPr>
      </w:pPr>
    </w:p>
    <w:p w14:paraId="05867C51" w14:textId="0891ED27" w:rsidR="003338A3" w:rsidRDefault="003338A3" w:rsidP="003338A3">
      <w:r>
        <w:t>Thus, it looks fairly simple to allow AF/NEF to send (</w:t>
      </w:r>
      <w:r w:rsidRPr="00773756">
        <w:t>Nnef_TrafficInfluence</w:t>
      </w:r>
      <w:r>
        <w:t xml:space="preserve"> )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1B906FFC" w:rsidR="003338A3" w:rsidRDefault="003338A3" w:rsidP="003338A3">
      <w:pPr>
        <w:pStyle w:val="B1"/>
        <w:numPr>
          <w:ilvl w:val="0"/>
          <w:numId w:val="46"/>
        </w:numPr>
        <w:rPr>
          <w:ins w:id="10" w:author="TTF-SA2#152" w:date="2022-08-23T14:15:00Z"/>
        </w:rPr>
      </w:pPr>
      <w:r>
        <w:t xml:space="preserve">All users of the same </w:t>
      </w:r>
      <w:r w:rsidR="003123B1">
        <w:t>“</w:t>
      </w:r>
      <w:r w:rsidR="003123B1" w:rsidRPr="003D4ABF">
        <w:t>Subscriber categories</w:t>
      </w:r>
      <w:r w:rsidR="003123B1">
        <w:t>”</w:t>
      </w:r>
      <w:r>
        <w:t xml:space="preserve"> (e.g. gold / solver / bronze</w:t>
      </w:r>
      <w:r w:rsidR="003123B1">
        <w:t xml:space="preserve"> users</w:t>
      </w:r>
      <w:r>
        <w:t xml:space="preserve">) </w:t>
      </w:r>
    </w:p>
    <w:p w14:paraId="0F24D6B0" w14:textId="1774FD48" w:rsidR="00764049" w:rsidRDefault="00764049" w:rsidP="00764049">
      <w:pPr>
        <w:pStyle w:val="B1"/>
        <w:numPr>
          <w:ilvl w:val="0"/>
          <w:numId w:val="46"/>
        </w:numPr>
      </w:pPr>
      <w:ins w:id="11"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r w:rsidR="003123B1">
        <w:t xml:space="preserve">“ </w:t>
      </w:r>
      <w:r>
        <w:t xml:space="preserve"> would</w:t>
      </w:r>
      <w:r w:rsidR="003123B1">
        <w:t>/</w:t>
      </w:r>
    </w:p>
    <w:p w14:paraId="0356FC17" w14:textId="0D83EDDF" w:rsidR="003338A3" w:rsidRDefault="003338A3" w:rsidP="003338A3">
      <w:pPr>
        <w:pStyle w:val="B1"/>
        <w:numPr>
          <w:ilvl w:val="0"/>
          <w:numId w:val="46"/>
        </w:numPr>
      </w:pPr>
      <w:r>
        <w:t>imply updating the UDR records of possibly 10s or even 100s of Millions of users in big networks in order to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宋体"/>
          <w:lang w:eastAsia="zh-CN"/>
        </w:rPr>
        <w:t>Access and Mobility Subscription data</w:t>
      </w:r>
      <w:r>
        <w:rPr>
          <w:rFonts w:eastAsia="宋体"/>
          <w:lang w:eastAsia="zh-CN"/>
        </w:rPr>
        <w:t xml:space="preserve"> </w:t>
      </w:r>
      <w:r w:rsidR="003123B1">
        <w:rPr>
          <w:rFonts w:eastAsia="宋体"/>
          <w:lang w:eastAsia="zh-CN"/>
        </w:rPr>
        <w:t>AND</w:t>
      </w:r>
      <w:r>
        <w:rPr>
          <w:rFonts w:eastAsia="宋体"/>
          <w:lang w:eastAsia="zh-CN"/>
        </w:rPr>
        <w:t xml:space="preserve"> the </w:t>
      </w:r>
      <w:r w:rsidRPr="003D4ABF">
        <w:rPr>
          <w:rFonts w:eastAsia="等线"/>
        </w:rPr>
        <w:t xml:space="preserve">PDU Session </w:t>
      </w:r>
      <w:r w:rsidRPr="003D4ABF">
        <w:t>policy control subscription information</w:t>
      </w:r>
      <w:r>
        <w:rPr>
          <w:rFonts w:eastAsia="宋体"/>
          <w:lang w:eastAsia="zh-CN"/>
        </w:rPr>
        <w:t xml:space="preserve"> (defined in </w:t>
      </w:r>
      <w:r>
        <w:t xml:space="preserve">TS 23.503 </w:t>
      </w:r>
      <w:r w:rsidRPr="003D4ABF">
        <w:rPr>
          <w:rFonts w:eastAsia="等线"/>
        </w:rPr>
        <w:t>Table 6.2-2</w:t>
      </w:r>
      <w:r>
        <w:rPr>
          <w:rFonts w:eastAsia="等线"/>
        </w:rPr>
        <w:t>)</w:t>
      </w:r>
      <w:r>
        <w:rPr>
          <w:rFonts w:eastAsia="宋体"/>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12" w:name="_Toc106121050"/>
      <w:r w:rsidRPr="00812106">
        <w:t>8</w:t>
      </w:r>
      <w:r w:rsidRPr="00812106">
        <w:tab/>
        <w:t>Conclusions</w:t>
      </w:r>
      <w:bookmarkEnd w:id="12"/>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2"/>
      </w:pPr>
      <w:r>
        <w:t>8.3</w:t>
      </w:r>
      <w:r>
        <w:tab/>
        <w:t xml:space="preserve">Conclusions for </w:t>
      </w:r>
      <w:r w:rsidRPr="00812106">
        <w:t>KI#3: Policies for finer granular sets of UEs</w:t>
      </w:r>
      <w:bookmarkEnd w:id="2"/>
    </w:p>
    <w:p w14:paraId="19C0424A" w14:textId="0972A942" w:rsidR="003338A3" w:rsidRDefault="00C711C0" w:rsidP="00412DB1">
      <w:r>
        <w:t xml:space="preserve">Normative specifications </w:t>
      </w:r>
      <w:r w:rsidR="008858BF">
        <w:t xml:space="preserve">related with KI3 </w:t>
      </w:r>
      <w:r>
        <w:t xml:space="preserve">will </w:t>
      </w:r>
      <w:r w:rsidR="008858BF">
        <w:t>be based on following principles</w:t>
      </w:r>
      <w:r>
        <w:t xml:space="preserve"> </w:t>
      </w:r>
    </w:p>
    <w:p w14:paraId="3391F29A" w14:textId="754546FF" w:rsidR="008858BF" w:rsidRDefault="008858BF" w:rsidP="004D7961">
      <w:pPr>
        <w:pStyle w:val="B1"/>
        <w:numPr>
          <w:ilvl w:val="0"/>
          <w:numId w:val="47"/>
        </w:numPr>
      </w:pPr>
      <w:r>
        <w:t xml:space="preserve">the 5GC and the AF may (as part of a SLA) agree on a Target Category information that is an abstract value (whose values are not specified by 3GPP) and that may represent a </w:t>
      </w:r>
      <w:del w:id="13" w:author="Huawei_X" w:date="2022-10-08T19:46:00Z">
        <w:r w:rsidRPr="00426CD9" w:rsidDel="00426CD9">
          <w:rPr>
            <w:highlight w:val="yellow"/>
            <w:rPrChange w:id="14" w:author="Huawei_X" w:date="2022-10-08T19:46:00Z">
              <w:rPr/>
            </w:rPrChange>
          </w:rPr>
          <w:delText>logical</w:delText>
        </w:r>
        <w:r w:rsidDel="00426CD9">
          <w:delText xml:space="preserve"> </w:delText>
        </w:r>
      </w:del>
      <w:r>
        <w:t>combination of External group Identifiers, "</w:t>
      </w:r>
      <w:r w:rsidRPr="00B55468">
        <w:t>Allowed services</w:t>
      </w:r>
      <w:r>
        <w:t>"</w:t>
      </w:r>
      <w:r w:rsidRPr="00E133D1">
        <w:t xml:space="preserve"> and/or </w:t>
      </w:r>
      <w:r>
        <w:t>"</w:t>
      </w:r>
      <w:r w:rsidRPr="00773756">
        <w:t>Subscriber categories</w:t>
      </w:r>
      <w:r>
        <w:t>" and/or application decided service information</w:t>
      </w:r>
    </w:p>
    <w:p w14:paraId="0114C236" w14:textId="77777777" w:rsidR="008858BF" w:rsidRPr="008858BF" w:rsidRDefault="008858BF" w:rsidP="008858BF">
      <w:pPr>
        <w:pStyle w:val="ae"/>
        <w:ind w:left="643"/>
        <w:rPr>
          <w:rFonts w:ascii="Times New Roman" w:eastAsiaTheme="minorEastAsia" w:hAnsi="Times New Roman" w:cs="Times New Roman"/>
          <w:color w:val="000000"/>
          <w:sz w:val="20"/>
          <w:szCs w:val="20"/>
          <w:lang w:val="en-GB" w:eastAsia="ja-JP"/>
        </w:rPr>
      </w:pPr>
      <w:r w:rsidRPr="008858BF">
        <w:rPr>
          <w:rFonts w:ascii="Times New Roman" w:eastAsiaTheme="minorEastAsia" w:hAnsi="Times New Roman" w:cs="Times New Roman"/>
          <w:color w:val="000000"/>
          <w:sz w:val="20"/>
          <w:szCs w:val="20"/>
          <w:lang w:val="en-GB" w:eastAsia="ja-JP"/>
        </w:rPr>
        <w:t>Whether 5GC actually exposes the internal representation of "subscriber categories" or some external representation is to be used, will be decided in normative phase.</w:t>
      </w:r>
    </w:p>
    <w:p w14:paraId="175B5A09" w14:textId="43D09286" w:rsidR="008858BF" w:rsidRDefault="008858BF" w:rsidP="008858BF">
      <w:pPr>
        <w:pStyle w:val="B1"/>
        <w:ind w:left="643" w:firstLine="0"/>
      </w:pPr>
      <w:r>
        <w:t xml:space="preserve"> </w:t>
      </w:r>
    </w:p>
    <w:p w14:paraId="56D252CE" w14:textId="0517C94F" w:rsidR="008858BF" w:rsidRDefault="008858BF" w:rsidP="00465F58">
      <w:pPr>
        <w:pStyle w:val="B1"/>
        <w:numPr>
          <w:ilvl w:val="0"/>
          <w:numId w:val="47"/>
        </w:numPr>
      </w:pPr>
      <w:r>
        <w:t>The NEF m</w:t>
      </w:r>
      <w:bookmarkStart w:id="15" w:name="_GoBack"/>
      <w:bookmarkEnd w:id="15"/>
      <w:r>
        <w:t xml:space="preserve">ay, </w:t>
      </w:r>
      <w:r w:rsidRPr="00F3175C">
        <w:t>based on local policies</w:t>
      </w:r>
      <w:r>
        <w:t xml:space="preserve"> determine a </w:t>
      </w:r>
      <w:del w:id="16" w:author="Huawei_X" w:date="2022-10-08T19:47:00Z">
        <w:r w:rsidRPr="007378F6" w:rsidDel="00426CD9">
          <w:rPr>
            <w:highlight w:val="yellow"/>
            <w:rPrChange w:id="17" w:author="Huawei_X" w:date="2022-10-08T19:49:00Z">
              <w:rPr/>
            </w:rPrChange>
          </w:rPr>
          <w:delText>logical</w:delText>
        </w:r>
        <w:r w:rsidDel="00426CD9">
          <w:delText xml:space="preserve"> </w:delText>
        </w:r>
      </w:del>
      <w:r>
        <w:t>combination of group Identifiers, "</w:t>
      </w:r>
      <w:r w:rsidRPr="00B55468">
        <w:t>Allowed services</w:t>
      </w:r>
      <w:r>
        <w:t>"</w:t>
      </w:r>
      <w:r w:rsidRPr="00E133D1">
        <w:t xml:space="preserve"> and/or </w:t>
      </w:r>
      <w:r>
        <w:t>"</w:t>
      </w:r>
      <w:r w:rsidRPr="00773756">
        <w:t>Subscriber categories</w:t>
      </w:r>
      <w:r>
        <w:t>" that is to be associated with the Target Category in an incoming</w:t>
      </w:r>
      <w:r w:rsidRPr="00F3175C">
        <w:t xml:space="preserve"> </w:t>
      </w:r>
      <w:r w:rsidRPr="00773756">
        <w:t>Nnef_TrafficInfluence</w:t>
      </w:r>
      <w:r>
        <w:t xml:space="preserve"> service request. These local policies may </w:t>
      </w:r>
      <w:r w:rsidRPr="00F3175C">
        <w:t xml:space="preserve">relate e.g. with the identity of the AF having issued the </w:t>
      </w:r>
      <w:r w:rsidRPr="00773756">
        <w:t>Nnef_TrafficInfluence</w:t>
      </w:r>
      <w:r>
        <w:t xml:space="preserve"> </w:t>
      </w:r>
      <w:r w:rsidRPr="00F3175C">
        <w:t xml:space="preserve">service request </w:t>
      </w:r>
      <w:r>
        <w:t>and/</w:t>
      </w:r>
      <w:r w:rsidRPr="00F3175C">
        <w:t xml:space="preserve">or relate with the parameters indicated in the </w:t>
      </w:r>
      <w:r w:rsidRPr="00773756">
        <w:t>Nnef_TrafficInfluence</w:t>
      </w:r>
      <w:r w:rsidRPr="00F3175C">
        <w:t xml:space="preserve"> service request (for example the local policies may take into account </w:t>
      </w:r>
      <w:r>
        <w:t xml:space="preserve">following information </w:t>
      </w:r>
      <w:r w:rsidRPr="00F3175C">
        <w:t xml:space="preserve">provided in the </w:t>
      </w:r>
      <w:r>
        <w:t xml:space="preserve">AF </w:t>
      </w:r>
      <w:r w:rsidRPr="00F3175C">
        <w:t>request</w:t>
      </w:r>
      <w:r>
        <w:t xml:space="preserve">: </w:t>
      </w:r>
      <w:r w:rsidRPr="00F3175C">
        <w:t>the MTC Provider Information</w:t>
      </w:r>
      <w:r>
        <w:t xml:space="preserve">, </w:t>
      </w:r>
      <w:r w:rsidRPr="00F3175C">
        <w:t xml:space="preserve">the S-NSSAI </w:t>
      </w:r>
      <w:r>
        <w:t>and/or the Target category defined above</w:t>
      </w:r>
      <w:r w:rsidRPr="00F3175C">
        <w:t>)</w:t>
      </w:r>
      <w:r>
        <w:t>.</w:t>
      </w:r>
    </w:p>
    <w:p w14:paraId="41C6E2C6" w14:textId="5DFBCF75" w:rsidR="00465F58" w:rsidRDefault="00465F58" w:rsidP="00465F58">
      <w:pPr>
        <w:pStyle w:val="B1"/>
        <w:ind w:left="643" w:firstLine="0"/>
      </w:pPr>
      <w:r>
        <w:rPr>
          <w:lang w:eastAsia="zh-CN"/>
        </w:rPr>
        <w:t xml:space="preserve">Only the NEF needs to be aware of </w:t>
      </w:r>
      <w:r>
        <w:t xml:space="preserve">Target Category and </w:t>
      </w:r>
      <w:r>
        <w:rPr>
          <w:lang w:eastAsia="zh-CN"/>
        </w:rPr>
        <w:t>SLA with the application.</w:t>
      </w:r>
    </w:p>
    <w:p w14:paraId="41B473DB" w14:textId="45BC1E3D" w:rsidR="008858BF" w:rsidRDefault="008858BF" w:rsidP="008858BF">
      <w:pPr>
        <w:pStyle w:val="NO"/>
      </w:pPr>
      <w:r>
        <w:t>NOTE: the NEF is the 5GC NF where policies per AF are configured</w:t>
      </w:r>
    </w:p>
    <w:p w14:paraId="68DFACFD" w14:textId="77777777" w:rsidR="00DE4E6F" w:rsidRPr="00DE4E6F" w:rsidRDefault="00DE4E6F" w:rsidP="00DE4E6F">
      <w:pPr>
        <w:pStyle w:val="B1"/>
        <w:ind w:left="644" w:firstLine="0"/>
        <w:rPr>
          <w:lang w:val="en-CA"/>
        </w:rPr>
      </w:pPr>
    </w:p>
    <w:p w14:paraId="4485E992" w14:textId="605E6DD0" w:rsidR="00293B2B" w:rsidRDefault="00293B2B" w:rsidP="00293B2B">
      <w:pPr>
        <w:pStyle w:val="B1"/>
        <w:ind w:left="644" w:firstLine="0"/>
        <w:rPr>
          <w:ins w:id="18" w:author="LTHM2" w:date="2022-08-24T17:07:00Z"/>
        </w:rPr>
      </w:pPr>
    </w:p>
    <w:p w14:paraId="30272895" w14:textId="7C92995D" w:rsidR="008858BF" w:rsidRDefault="008858BF" w:rsidP="008858BF">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r>
        <w:t xml:space="preserve">a </w:t>
      </w:r>
      <w:del w:id="19" w:author="Huawei_X" w:date="2022-10-08T19:47:00Z">
        <w:r w:rsidRPr="00426CD9" w:rsidDel="00426CD9">
          <w:rPr>
            <w:highlight w:val="yellow"/>
            <w:rPrChange w:id="20" w:author="Huawei_X" w:date="2022-10-08T19:48:00Z">
              <w:rPr/>
            </w:rPrChange>
          </w:rPr>
          <w:delText>logical</w:delText>
        </w:r>
        <w:r w:rsidDel="00426CD9">
          <w:delText xml:space="preserve"> </w:delText>
        </w:r>
      </w:del>
      <w:r>
        <w:t xml:space="preserve">combination of Group Ids </w:t>
      </w:r>
      <w:r w:rsidRPr="00E133D1">
        <w:t>and/or</w:t>
      </w:r>
      <w:r>
        <w:t xml:space="preserve"> "</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p>
    <w:p w14:paraId="694CB657" w14:textId="1F12716F" w:rsidR="008858BF" w:rsidDel="00FE1544" w:rsidRDefault="008858BF" w:rsidP="008858BF">
      <w:pPr>
        <w:pStyle w:val="B3"/>
      </w:pPr>
      <w:r w:rsidDel="00FE1544">
        <w:t>-</w:t>
      </w:r>
      <w:r w:rsidDel="00FE1544">
        <w:tab/>
        <w:t xml:space="preserve">The </w:t>
      </w:r>
      <w:del w:id="21" w:author="Huawei_X" w:date="2022-10-08T19:48:00Z">
        <w:r w:rsidRPr="007378F6" w:rsidDel="00426CD9">
          <w:rPr>
            <w:highlight w:val="yellow"/>
            <w:rPrChange w:id="22" w:author="Huawei_X" w:date="2022-10-08T19:48:00Z">
              <w:rPr/>
            </w:rPrChange>
          </w:rPr>
          <w:delText>logical</w:delText>
        </w:r>
        <w:r w:rsidDel="00426CD9">
          <w:delText xml:space="preserve"> </w:delText>
        </w:r>
      </w:del>
      <w:r w:rsidDel="00FE1544">
        <w:t>combination may e.g. refer to users members of Group Id = X and of "</w:t>
      </w:r>
      <w:r w:rsidRPr="00773756" w:rsidDel="00FE1544">
        <w:t>Subscriber categories</w:t>
      </w:r>
      <w:r w:rsidDel="00FE1544">
        <w:t>" = “Gold”</w:t>
      </w:r>
    </w:p>
    <w:p w14:paraId="7D10D57B" w14:textId="2196717D" w:rsidR="008858BF" w:rsidRDefault="008858BF" w:rsidP="00F3175C">
      <w:pPr>
        <w:pStyle w:val="B1"/>
        <w:numPr>
          <w:ilvl w:val="0"/>
          <w:numId w:val="47"/>
        </w:numPr>
      </w:pPr>
      <w:r>
        <w:t xml:space="preserve">the PCF </w:t>
      </w:r>
      <w:r w:rsidR="00465F58">
        <w:t xml:space="preserve">is impacted by the work on this key issue as the policies it gets from UDR may refer </w:t>
      </w:r>
      <w:r w:rsidR="00465F58" w:rsidRPr="00AC2414">
        <w:t xml:space="preserve">to </w:t>
      </w:r>
      <w:r w:rsidR="00465F58">
        <w:t xml:space="preserve">a </w:t>
      </w:r>
      <w:del w:id="23" w:author="Huawei_X" w:date="2022-10-08T19:48:00Z">
        <w:r w:rsidR="00465F58" w:rsidRPr="007378F6" w:rsidDel="00426CD9">
          <w:rPr>
            <w:highlight w:val="yellow"/>
            <w:rPrChange w:id="24" w:author="Huawei_X" w:date="2022-10-08T19:48:00Z">
              <w:rPr/>
            </w:rPrChange>
          </w:rPr>
          <w:delText>logical</w:delText>
        </w:r>
        <w:r w:rsidR="00465F58" w:rsidDel="00426CD9">
          <w:delText xml:space="preserve"> </w:delText>
        </w:r>
      </w:del>
      <w:r w:rsidR="00465F58">
        <w:t xml:space="preserve">combination of Group Ids </w:t>
      </w:r>
      <w:r w:rsidR="00465F58" w:rsidRPr="00E133D1">
        <w:t>and/or</w:t>
      </w:r>
      <w:r w:rsidR="00465F58">
        <w:t xml:space="preserve"> "</w:t>
      </w:r>
      <w:r w:rsidR="00465F58" w:rsidRPr="00B55468">
        <w:t>Allowed services</w:t>
      </w:r>
      <w:r w:rsidR="00465F58">
        <w:t>"</w:t>
      </w:r>
      <w:r w:rsidR="00465F58" w:rsidRPr="00E133D1">
        <w:t xml:space="preserve"> and/or </w:t>
      </w:r>
      <w:r w:rsidR="00465F58">
        <w:t>"</w:t>
      </w:r>
      <w:r w:rsidR="00465F58" w:rsidRPr="00773756">
        <w:t>Subscriber categories</w:t>
      </w:r>
      <w:r w:rsidR="00465F58">
        <w:t>"</w:t>
      </w:r>
    </w:p>
    <w:p w14:paraId="7F399A04" w14:textId="74C20DEA" w:rsidR="00764049" w:rsidRDefault="00902B5E" w:rsidP="00F3175C">
      <w:pPr>
        <w:pStyle w:val="B1"/>
        <w:numPr>
          <w:ilvl w:val="0"/>
          <w:numId w:val="47"/>
        </w:numPr>
      </w:pPr>
      <w:r>
        <w:rPr>
          <w:lang w:eastAsia="zh-CN"/>
        </w:rPr>
        <w:t>The SMF, EASDF and UPF are not impacted by normative work on this KI</w:t>
      </w:r>
      <w:r w:rsidR="00764049">
        <w:rPr>
          <w:lang w:eastAsia="zh-CN"/>
        </w:rPr>
        <w:t>.</w:t>
      </w:r>
      <w:r>
        <w:rPr>
          <w:lang w:eastAsia="zh-CN"/>
        </w:rPr>
        <w:t xml:space="preserve"> </w:t>
      </w:r>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91265" w14:textId="77777777" w:rsidR="005B6C48" w:rsidRDefault="005B6C48">
      <w:r>
        <w:separator/>
      </w:r>
    </w:p>
    <w:p w14:paraId="07D38077" w14:textId="77777777" w:rsidR="005B6C48" w:rsidRDefault="005B6C48"/>
  </w:endnote>
  <w:endnote w:type="continuationSeparator" w:id="0">
    <w:p w14:paraId="486C1483" w14:textId="77777777" w:rsidR="005B6C48" w:rsidRDefault="005B6C48">
      <w:r>
        <w:continuationSeparator/>
      </w:r>
    </w:p>
    <w:p w14:paraId="755BBBD4" w14:textId="77777777" w:rsidR="005B6C48" w:rsidRDefault="005B6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15076" w14:textId="77777777" w:rsidR="005B6C48" w:rsidRDefault="005B6C48">
      <w:r>
        <w:separator/>
      </w:r>
    </w:p>
    <w:p w14:paraId="66F8AF2F" w14:textId="77777777" w:rsidR="005B6C48" w:rsidRDefault="005B6C48"/>
  </w:footnote>
  <w:footnote w:type="continuationSeparator" w:id="0">
    <w:p w14:paraId="6A512B2F" w14:textId="77777777" w:rsidR="005B6C48" w:rsidRDefault="005B6C48">
      <w:r>
        <w:continuationSeparator/>
      </w:r>
    </w:p>
    <w:p w14:paraId="46F29C0A" w14:textId="77777777" w:rsidR="005B6C48" w:rsidRDefault="005B6C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378F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Huawei_X">
    <w15:presenceInfo w15:providerId="None" w15:userId="Huawei_X"/>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26CD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C4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8F6"/>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869DD-96A1-4D5C-A23A-41817AEB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908</Words>
  <Characters>5180</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cp:lastModifiedBy>
  <cp:revision>8</cp:revision>
  <cp:lastPrinted>2014-09-10T09:04:00Z</cp:lastPrinted>
  <dcterms:created xsi:type="dcterms:W3CDTF">2022-08-24T15:30:00Z</dcterms:created>
  <dcterms:modified xsi:type="dcterms:W3CDTF">2022-10-08T11:49:00Z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1665023563</vt:lpwstr>
  </property>
</Properties>
</file>